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B27D8E" w14:textId="592E9E71" w:rsidR="008A11CF" w:rsidRPr="00E54E77" w:rsidRDefault="00AC246E" w:rsidP="00AC246E">
      <w:pPr>
        <w:spacing w:line="276" w:lineRule="auto"/>
        <w:jc w:val="center"/>
        <w:rPr>
          <w:rFonts w:ascii="Century Gothic" w:eastAsia="Times New Roman" w:hAnsi="Century Gothic"/>
          <w:b/>
          <w:sz w:val="40"/>
          <w:szCs w:val="40"/>
        </w:rPr>
      </w:pPr>
      <w:r w:rsidRPr="00E54E77">
        <w:rPr>
          <w:rFonts w:ascii="Century Gothic" w:eastAsia="Times New Roman" w:hAnsi="Century Gothic"/>
          <w:b/>
          <w:sz w:val="40"/>
          <w:szCs w:val="40"/>
        </w:rPr>
        <w:t>LETTER OF APPLICATION</w:t>
      </w:r>
    </w:p>
    <w:p w14:paraId="1E877DC4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EF07F20" w14:textId="6C81284B" w:rsidR="008A11CF" w:rsidRPr="00AC246E" w:rsidRDefault="00E54E77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br/>
      </w:r>
      <w:r w:rsidR="008A11CF" w:rsidRPr="00AC246E">
        <w:rPr>
          <w:rFonts w:ascii="Century Gothic" w:eastAsia="Times New Roman" w:hAnsi="Century Gothic"/>
          <w:sz w:val="24"/>
          <w:szCs w:val="24"/>
        </w:rPr>
        <w:t>October 30, 20</w:t>
      </w:r>
      <w:r w:rsidR="00AC246E">
        <w:rPr>
          <w:rFonts w:ascii="Century Gothic" w:eastAsia="Times New Roman" w:hAnsi="Century Gothic"/>
          <w:sz w:val="24"/>
          <w:szCs w:val="24"/>
        </w:rPr>
        <w:t>XX</w:t>
      </w:r>
    </w:p>
    <w:p w14:paraId="7B49CDEE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96E2576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>Professor Charles Jones</w:t>
      </w:r>
    </w:p>
    <w:p w14:paraId="719FFF66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215DC99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>Chair of the Search Committee</w:t>
      </w:r>
    </w:p>
    <w:p w14:paraId="3BBCACD4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>Department of English</w:t>
      </w:r>
    </w:p>
    <w:p w14:paraId="503F1349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>University of Illinois</w:t>
      </w:r>
    </w:p>
    <w:p w14:paraId="1ED3C24B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>Chicago, IL 60606</w:t>
      </w:r>
    </w:p>
    <w:p w14:paraId="3CD18ADE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DC93566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>Dear Professor Jones:</w:t>
      </w:r>
    </w:p>
    <w:p w14:paraId="3B126039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B024033" w14:textId="77777777" w:rsidR="008A11CF" w:rsidRPr="00AC246E" w:rsidRDefault="008A11CF" w:rsidP="00AC246E">
      <w:pPr>
        <w:spacing w:line="276" w:lineRule="auto"/>
        <w:ind w:right="460" w:firstLine="720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 xml:space="preserve">I am writing to apply for the position in eighteenth-century literature advertised by your department in the October MLA </w:t>
      </w:r>
      <w:r w:rsidRPr="00AC246E">
        <w:rPr>
          <w:rFonts w:ascii="Century Gothic" w:eastAsia="Times New Roman" w:hAnsi="Century Gothic"/>
          <w:i/>
          <w:sz w:val="24"/>
          <w:szCs w:val="24"/>
        </w:rPr>
        <w:t>Job Information List</w:t>
      </w:r>
      <w:r w:rsidRPr="00AC246E">
        <w:rPr>
          <w:rFonts w:ascii="Century Gothic" w:eastAsia="Times New Roman" w:hAnsi="Century Gothic"/>
          <w:sz w:val="24"/>
          <w:szCs w:val="24"/>
        </w:rPr>
        <w:t>. I expect to receive my Ph.D. this spring from the department of English at the University of Chicago; a copy of my CV is enclosed for your review.</w:t>
      </w:r>
    </w:p>
    <w:p w14:paraId="3065C809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B6E1C61" w14:textId="77777777" w:rsidR="00992E77" w:rsidRDefault="008A11CF" w:rsidP="00AC246E">
      <w:pPr>
        <w:spacing w:line="276" w:lineRule="auto"/>
        <w:ind w:right="480" w:firstLine="720"/>
        <w:rPr>
          <w:rFonts w:ascii="Century Gothic" w:eastAsia="Times New Roman" w:hAnsi="Century Gothic"/>
          <w:sz w:val="24"/>
          <w:szCs w:val="24"/>
        </w:rPr>
      </w:pPr>
      <w:r w:rsidRPr="00992E77">
        <w:rPr>
          <w:rFonts w:ascii="Century Gothic" w:eastAsia="Times New Roman" w:hAnsi="Century Gothic"/>
          <w:sz w:val="24"/>
          <w:szCs w:val="24"/>
        </w:rPr>
        <w:t xml:space="preserve">My dissertation, “The Character of Commerce: Writing and Credit in Eighteenth-Century Britain,” demonstrates how the discourses of philosophy, literature, and aesthetics ordered the domain of authority and value that we now call the “economy.” Each chapter situates a text from eighteenth-century Britain--John Locke’s </w:t>
      </w:r>
      <w:proofErr w:type="gramStart"/>
      <w:r w:rsidRPr="00992E77">
        <w:rPr>
          <w:rFonts w:ascii="Century Gothic" w:eastAsia="Times New Roman" w:hAnsi="Century Gothic"/>
          <w:sz w:val="24"/>
          <w:szCs w:val="24"/>
        </w:rPr>
        <w:t>An</w:t>
      </w:r>
      <w:proofErr w:type="gramEnd"/>
      <w:r w:rsidRPr="00992E77">
        <w:rPr>
          <w:rFonts w:ascii="Century Gothic" w:eastAsia="Times New Roman" w:hAnsi="Century Gothic"/>
          <w:sz w:val="24"/>
          <w:szCs w:val="24"/>
        </w:rPr>
        <w:t xml:space="preserve"> Essay Concerning Human Understanding (1690), Daniel Defoe’s Colonel Jack (1722) and The Fortunate Mistress (1724), Eliza Haywood’s Memoirs of a Certain Island Adjacent to the Kingdom of Utopia (1725), and Edmund Burke’s A Philosophical Inquiry into the Origin of the Idea of the Sublime and the Beautiful (1757)--in relation to historical developments in money, law, property, and representation more generally. </w:t>
      </w:r>
    </w:p>
    <w:p w14:paraId="36B90A4B" w14:textId="77777777" w:rsidR="00992E77" w:rsidRDefault="00992E77" w:rsidP="00AC246E">
      <w:pPr>
        <w:spacing w:line="276" w:lineRule="auto"/>
        <w:ind w:right="480" w:firstLine="720"/>
        <w:rPr>
          <w:rFonts w:ascii="Century Gothic" w:eastAsia="Times New Roman" w:hAnsi="Century Gothic"/>
          <w:sz w:val="24"/>
          <w:szCs w:val="24"/>
        </w:rPr>
      </w:pPr>
    </w:p>
    <w:p w14:paraId="0C9838B0" w14:textId="77777777" w:rsidR="00992E77" w:rsidRDefault="008A11CF" w:rsidP="00AC246E">
      <w:pPr>
        <w:spacing w:line="276" w:lineRule="auto"/>
        <w:ind w:right="480" w:firstLine="720"/>
        <w:rPr>
          <w:rFonts w:ascii="Century Gothic" w:eastAsia="Times New Roman" w:hAnsi="Century Gothic"/>
          <w:sz w:val="24"/>
          <w:szCs w:val="24"/>
        </w:rPr>
      </w:pPr>
      <w:r w:rsidRPr="00992E77">
        <w:rPr>
          <w:rFonts w:ascii="Century Gothic" w:eastAsia="Times New Roman" w:hAnsi="Century Gothic"/>
          <w:sz w:val="24"/>
          <w:szCs w:val="24"/>
        </w:rPr>
        <w:t xml:space="preserve">Drawing on the work of theorists such as Jean-Joseph </w:t>
      </w:r>
      <w:proofErr w:type="spellStart"/>
      <w:r w:rsidRPr="00992E77">
        <w:rPr>
          <w:rFonts w:ascii="Century Gothic" w:eastAsia="Times New Roman" w:hAnsi="Century Gothic"/>
          <w:sz w:val="24"/>
          <w:szCs w:val="24"/>
        </w:rPr>
        <w:t>Goux</w:t>
      </w:r>
      <w:proofErr w:type="spellEnd"/>
      <w:r w:rsidRPr="00992E77">
        <w:rPr>
          <w:rFonts w:ascii="Century Gothic" w:eastAsia="Times New Roman" w:hAnsi="Century Gothic"/>
          <w:sz w:val="24"/>
          <w:szCs w:val="24"/>
        </w:rPr>
        <w:t xml:space="preserve">, Michel Foucault, and J.G.A. Pocock, I historicize how terms like “credit,” “exchange,” and the “sublime” emerged to become privileged concepts that helped transform Britain into a commercial society. To use the period’s own idiom, the problematic I trace can be imagined as the relationship </w:t>
      </w:r>
      <w:r w:rsidRPr="00992E77">
        <w:rPr>
          <w:rFonts w:ascii="Century Gothic" w:eastAsia="Times New Roman" w:hAnsi="Century Gothic"/>
          <w:sz w:val="24"/>
          <w:szCs w:val="24"/>
        </w:rPr>
        <w:lastRenderedPageBreak/>
        <w:t xml:space="preserve">between “character” and “credit,” both of which are key words unlocking contemporary discourses addressing personality, writing, and economics. </w:t>
      </w:r>
    </w:p>
    <w:p w14:paraId="4BB7BD23" w14:textId="73CCA30E" w:rsidR="008A11CF" w:rsidRPr="00992E77" w:rsidRDefault="008A11CF" w:rsidP="00AC246E">
      <w:pPr>
        <w:spacing w:line="276" w:lineRule="auto"/>
        <w:ind w:right="480" w:firstLine="720"/>
        <w:rPr>
          <w:rFonts w:ascii="Century Gothic" w:eastAsia="Times New Roman" w:hAnsi="Century Gothic"/>
          <w:sz w:val="24"/>
          <w:szCs w:val="24"/>
        </w:rPr>
      </w:pPr>
      <w:r w:rsidRPr="00992E77">
        <w:rPr>
          <w:rFonts w:ascii="Century Gothic" w:eastAsia="Times New Roman" w:hAnsi="Century Gothic"/>
          <w:sz w:val="24"/>
          <w:szCs w:val="24"/>
        </w:rPr>
        <w:t>The story my dissertation tells is how individual “character,” like the political-economic system in general, was increasingly imagined as depending on “credit,” so that a social order legislated by the “invisible hand” becomes naturalized, its fictionality forgotten.</w:t>
      </w:r>
    </w:p>
    <w:p w14:paraId="62DFC692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DD1CD98" w14:textId="77777777" w:rsidR="008A11CF" w:rsidRPr="00AC246E" w:rsidRDefault="008A11CF" w:rsidP="00AC246E">
      <w:pPr>
        <w:spacing w:line="276" w:lineRule="auto"/>
        <w:ind w:right="520" w:firstLine="720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 xml:space="preserve">Last year, I was awarded a teaching fellowship with the English department for a position as an instructor for a course called “Methods and Issues in Textual Studies,” an introductory course in critical theory now required of undergraduate English majors at the University of Chicago. I was a member of a five-person staff of faculty and graduate students who designed and taught the course, which included texts intended to represent a number of critical methods--deconstruction, historicism, psychoanalysis, formalism--as well as literary texts--canonical (Hawthorne’s short stories, Shakespeare’s </w:t>
      </w:r>
      <w:r w:rsidRPr="00AC246E">
        <w:rPr>
          <w:rFonts w:ascii="Century Gothic" w:eastAsia="Times New Roman" w:hAnsi="Century Gothic"/>
          <w:i/>
          <w:sz w:val="24"/>
          <w:szCs w:val="24"/>
        </w:rPr>
        <w:t>Macbeth</w:t>
      </w:r>
      <w:r w:rsidRPr="00AC246E">
        <w:rPr>
          <w:rFonts w:ascii="Century Gothic" w:eastAsia="Times New Roman" w:hAnsi="Century Gothic"/>
          <w:sz w:val="24"/>
          <w:szCs w:val="24"/>
        </w:rPr>
        <w:t xml:space="preserve">), contemporary (Morrison’s </w:t>
      </w:r>
      <w:r w:rsidRPr="00AC246E">
        <w:rPr>
          <w:rFonts w:ascii="Century Gothic" w:eastAsia="Times New Roman" w:hAnsi="Century Gothic"/>
          <w:i/>
          <w:sz w:val="24"/>
          <w:szCs w:val="24"/>
        </w:rPr>
        <w:t>Beloved</w:t>
      </w:r>
      <w:r w:rsidRPr="00AC246E">
        <w:rPr>
          <w:rFonts w:ascii="Century Gothic" w:eastAsia="Times New Roman" w:hAnsi="Century Gothic"/>
          <w:sz w:val="24"/>
          <w:szCs w:val="24"/>
        </w:rPr>
        <w:t xml:space="preserve">), and various popular works that stretch the limits of the definition of “text.” The goal of the course as we designed it was not simply to introduce a number of critical methods but to use such methods to help make students more conscious that reading literary and other texts is a conscious and critical activity. Last spring, I taught a course of my own design entitled “Grub Street: From the Literary to the </w:t>
      </w:r>
      <w:proofErr w:type="spellStart"/>
      <w:r w:rsidRPr="00AC246E">
        <w:rPr>
          <w:rFonts w:ascii="Century Gothic" w:eastAsia="Times New Roman" w:hAnsi="Century Gothic"/>
          <w:sz w:val="24"/>
          <w:szCs w:val="24"/>
        </w:rPr>
        <w:t>Literatory</w:t>
      </w:r>
      <w:proofErr w:type="spellEnd"/>
      <w:r w:rsidRPr="00AC246E">
        <w:rPr>
          <w:rFonts w:ascii="Century Gothic" w:eastAsia="Times New Roman" w:hAnsi="Century Gothic"/>
          <w:sz w:val="24"/>
          <w:szCs w:val="24"/>
        </w:rPr>
        <w:t xml:space="preserve"> in Eighteenth-Century Britain”; I used the institution of the emergent publishing industry to examine the construction of high and low cultures in the course of eighteenth-century Britain. “Grub Street” takes a cultural studies approach, focusing on topics like the development of copyright law, the growth of printing and distributing networks, and the emergence of professionally-produced literary criticism. From there, students read works such as Pope’s </w:t>
      </w:r>
      <w:r w:rsidRPr="00AC246E">
        <w:rPr>
          <w:rFonts w:ascii="Century Gothic" w:eastAsia="Times New Roman" w:hAnsi="Century Gothic"/>
          <w:i/>
          <w:sz w:val="24"/>
          <w:szCs w:val="24"/>
        </w:rPr>
        <w:t>The Dunciad</w:t>
      </w:r>
      <w:r w:rsidRPr="00AC246E">
        <w:rPr>
          <w:rFonts w:ascii="Century Gothic" w:eastAsia="Times New Roman" w:hAnsi="Century Gothic"/>
          <w:sz w:val="24"/>
          <w:szCs w:val="24"/>
        </w:rPr>
        <w:t xml:space="preserve">, Defoe’s </w:t>
      </w:r>
      <w:r w:rsidRPr="00AC246E">
        <w:rPr>
          <w:rFonts w:ascii="Century Gothic" w:eastAsia="Times New Roman" w:hAnsi="Century Gothic"/>
          <w:i/>
          <w:sz w:val="24"/>
          <w:szCs w:val="24"/>
        </w:rPr>
        <w:t>Moll Flanders</w:t>
      </w:r>
      <w:r w:rsidRPr="00AC246E">
        <w:rPr>
          <w:rFonts w:ascii="Century Gothic" w:eastAsia="Times New Roman" w:hAnsi="Century Gothic"/>
          <w:sz w:val="24"/>
          <w:szCs w:val="24"/>
        </w:rPr>
        <w:t>, and</w:t>
      </w:r>
      <w:bookmarkStart w:id="0" w:name="page17"/>
      <w:bookmarkEnd w:id="0"/>
      <w:r w:rsidR="00AC246E">
        <w:rPr>
          <w:rFonts w:ascii="Century Gothic" w:eastAsia="Times New Roman" w:hAnsi="Century Gothic"/>
          <w:sz w:val="24"/>
          <w:szCs w:val="24"/>
        </w:rPr>
        <w:t xml:space="preserve"> </w:t>
      </w:r>
      <w:r w:rsidRPr="00AC246E">
        <w:rPr>
          <w:rFonts w:ascii="Century Gothic" w:eastAsia="Times New Roman" w:hAnsi="Century Gothic"/>
          <w:sz w:val="24"/>
          <w:szCs w:val="24"/>
        </w:rPr>
        <w:t xml:space="preserve">Haywood’s </w:t>
      </w:r>
      <w:proofErr w:type="spellStart"/>
      <w:r w:rsidRPr="00AC246E">
        <w:rPr>
          <w:rFonts w:ascii="Century Gothic" w:eastAsia="Times New Roman" w:hAnsi="Century Gothic"/>
          <w:i/>
          <w:sz w:val="24"/>
          <w:szCs w:val="24"/>
        </w:rPr>
        <w:t>Fantomina</w:t>
      </w:r>
      <w:proofErr w:type="spellEnd"/>
      <w:r w:rsidRPr="00AC246E">
        <w:rPr>
          <w:rFonts w:ascii="Century Gothic" w:eastAsia="Times New Roman" w:hAnsi="Century Gothic"/>
          <w:sz w:val="24"/>
          <w:szCs w:val="24"/>
        </w:rPr>
        <w:t xml:space="preserve"> as historical products, mediated by and sometimes commenting on an emergent institution that made possible the development of literary studies itself. I enjoy teaching undergraduate courses in literature as well as composition, and expect that my teaching and research will complement one another in the years to come.</w:t>
      </w:r>
    </w:p>
    <w:p w14:paraId="34C9120B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0C5F0F6" w14:textId="77777777" w:rsidR="008A11CF" w:rsidRPr="00AC246E" w:rsidRDefault="008A11CF" w:rsidP="00AC246E">
      <w:pPr>
        <w:spacing w:line="276" w:lineRule="auto"/>
        <w:ind w:right="480" w:firstLine="720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 xml:space="preserve">I will be attending the MLA Convention in New York in December and would welcome the opportunity to meet with you at that time. Please let </w:t>
      </w:r>
      <w:r w:rsidRPr="00AC246E">
        <w:rPr>
          <w:rFonts w:ascii="Century Gothic" w:eastAsia="Times New Roman" w:hAnsi="Century Gothic"/>
          <w:sz w:val="24"/>
          <w:szCs w:val="24"/>
        </w:rPr>
        <w:lastRenderedPageBreak/>
        <w:t>me know if you would like to review my dossier or a sample of my writing. I look forward to hearing from you soon.</w:t>
      </w:r>
    </w:p>
    <w:p w14:paraId="64B9D359" w14:textId="77777777" w:rsidR="008A11CF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7EDF032" w14:textId="77777777" w:rsidR="00AC246E" w:rsidRPr="00AC246E" w:rsidRDefault="00AC246E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E249977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>Sincerely,</w:t>
      </w:r>
    </w:p>
    <w:p w14:paraId="2D2021E7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4C1732F" w14:textId="77777777" w:rsidR="008A11CF" w:rsidRPr="00AC246E" w:rsidRDefault="008A11CF" w:rsidP="00AC246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246E">
        <w:rPr>
          <w:rFonts w:ascii="Century Gothic" w:eastAsia="Times New Roman" w:hAnsi="Century Gothic"/>
          <w:sz w:val="24"/>
          <w:szCs w:val="24"/>
        </w:rPr>
        <w:t>John Smith</w:t>
      </w:r>
    </w:p>
    <w:sectPr w:rsidR="008A11CF" w:rsidRPr="00AC246E" w:rsidSect="00992E77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6E"/>
    <w:rsid w:val="000E7C20"/>
    <w:rsid w:val="00815F3B"/>
    <w:rsid w:val="008A11CF"/>
    <w:rsid w:val="00992E77"/>
    <w:rsid w:val="00AC246E"/>
    <w:rsid w:val="00E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3C37D"/>
  <w15:chartTrackingRefBased/>
  <w15:docId w15:val="{595ADB65-731B-41D1-B932-F431527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4</cp:revision>
  <dcterms:created xsi:type="dcterms:W3CDTF">2022-06-28T05:01:00Z</dcterms:created>
  <dcterms:modified xsi:type="dcterms:W3CDTF">2022-06-28T07:19:00Z</dcterms:modified>
</cp:coreProperties>
</file>